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D463" w14:textId="37E58600" w:rsidR="00E00EF2" w:rsidRPr="0027050D" w:rsidRDefault="0027050D">
      <w:pPr>
        <w:jc w:val="center"/>
        <w:rPr>
          <w:rFonts w:ascii="Times New Roman" w:hAnsi="Times New Roman" w:cs="Times New Roman"/>
          <w:b/>
          <w:bCs/>
        </w:rPr>
      </w:pPr>
      <w:bookmarkStart w:id="0" w:name="OLE_LINK1"/>
      <w:r w:rsidRPr="0027050D">
        <w:rPr>
          <w:rFonts w:ascii="Times New Roman" w:hAnsi="Times New Roman" w:cs="Times New Roman"/>
          <w:b/>
          <w:bCs/>
          <w:sz w:val="32"/>
          <w:szCs w:val="32"/>
        </w:rPr>
        <w:t>Intelligent Paste Strength Tester</w:t>
      </w:r>
      <w:bookmarkEnd w:id="0"/>
    </w:p>
    <w:p w14:paraId="7F059B4C" w14:textId="3B498A2A" w:rsidR="00E00EF2" w:rsidRDefault="0027050D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08C7FA8C" wp14:editId="18D83B77">
            <wp:simplePos x="0" y="0"/>
            <wp:positionH relativeFrom="column">
              <wp:posOffset>1492250</wp:posOffset>
            </wp:positionH>
            <wp:positionV relativeFrom="paragraph">
              <wp:posOffset>199769</wp:posOffset>
            </wp:positionV>
            <wp:extent cx="2286000" cy="2286000"/>
            <wp:effectExtent l="0" t="0" r="0" b="0"/>
            <wp:wrapTopAndBottom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3C1CD" w14:textId="277B2BBC" w:rsidR="00E00EF2" w:rsidRDefault="00E00EF2"/>
    <w:p w14:paraId="17CE8D72" w14:textId="77777777" w:rsidR="00E00EF2" w:rsidRDefault="00E00EF2"/>
    <w:p w14:paraId="6A151C30" w14:textId="0F8FA64B" w:rsidR="00E00EF2" w:rsidRPr="0027050D" w:rsidRDefault="0027050D">
      <w:pPr>
        <w:rPr>
          <w:rFonts w:ascii="Times New Roman" w:hAnsi="Times New Roman" w:cs="Times New Roman"/>
          <w:b/>
          <w:bCs/>
          <w:sz w:val="24"/>
        </w:rPr>
      </w:pPr>
      <w:r w:rsidRPr="0027050D">
        <w:rPr>
          <w:rFonts w:ascii="Times New Roman" w:hAnsi="Times New Roman" w:cs="Times New Roman"/>
          <w:b/>
          <w:bCs/>
          <w:sz w:val="24"/>
        </w:rPr>
        <w:t xml:space="preserve">Application </w:t>
      </w:r>
    </w:p>
    <w:p w14:paraId="46E74C1B" w14:textId="77777777" w:rsidR="00E00EF2" w:rsidRPr="0027050D" w:rsidRDefault="0027050D">
      <w:pPr>
        <w:rPr>
          <w:rFonts w:ascii="Times New Roman" w:hAnsi="Times New Roman" w:cs="Times New Roman"/>
        </w:rPr>
      </w:pPr>
      <w:r w:rsidRPr="0027050D">
        <w:rPr>
          <w:rFonts w:ascii="Times New Roman" w:hAnsi="Times New Roman" w:cs="Times New Roman"/>
        </w:rPr>
        <w:t xml:space="preserve">It is suitable for the testing of the pulling force of the rivets, the bonding strength of the wall insulation materials and the bonding strength of the exterior wall facing </w:t>
      </w:r>
      <w:r w:rsidRPr="0027050D">
        <w:rPr>
          <w:rFonts w:ascii="Times New Roman" w:hAnsi="Times New Roman" w:cs="Times New Roman"/>
        </w:rPr>
        <w:t>bricks, all kinds of plates and paints.</w:t>
      </w:r>
    </w:p>
    <w:p w14:paraId="325F8C83" w14:textId="77777777" w:rsidR="00E00EF2" w:rsidRPr="0027050D" w:rsidRDefault="0027050D">
      <w:pPr>
        <w:rPr>
          <w:rFonts w:ascii="Times New Roman" w:hAnsi="Times New Roman" w:cs="Times New Roman"/>
          <w:b/>
          <w:bCs/>
          <w:sz w:val="24"/>
        </w:rPr>
      </w:pPr>
      <w:r w:rsidRPr="0027050D">
        <w:rPr>
          <w:rFonts w:ascii="Times New Roman" w:hAnsi="Times New Roman" w:cs="Times New Roman"/>
          <w:b/>
          <w:bCs/>
          <w:sz w:val="24"/>
        </w:rPr>
        <w:t>Feature</w:t>
      </w:r>
    </w:p>
    <w:p w14:paraId="169E5C3A" w14:textId="1DCB4B85" w:rsidR="00E00EF2" w:rsidRPr="0027050D" w:rsidRDefault="0027050D" w:rsidP="0027050D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7050D">
        <w:rPr>
          <w:rFonts w:ascii="Times New Roman" w:hAnsi="Times New Roman" w:cs="Times New Roman"/>
        </w:rPr>
        <w:t>Light alloy body, s-type tension sensor, high precision.</w:t>
      </w:r>
    </w:p>
    <w:p w14:paraId="5444E05B" w14:textId="22D83EB6" w:rsidR="00E00EF2" w:rsidRPr="0027050D" w:rsidRDefault="0027050D" w:rsidP="0027050D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7050D">
        <w:rPr>
          <w:rFonts w:ascii="Times New Roman" w:hAnsi="Times New Roman" w:cs="Times New Roman"/>
        </w:rPr>
        <w:t>Embedded digital tension meter.</w:t>
      </w:r>
    </w:p>
    <w:p w14:paraId="715FE13E" w14:textId="20FEE259" w:rsidR="00E00EF2" w:rsidRPr="0027050D" w:rsidRDefault="0027050D" w:rsidP="0027050D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7050D">
        <w:rPr>
          <w:rFonts w:ascii="Times New Roman" w:hAnsi="Times New Roman" w:cs="Times New Roman"/>
        </w:rPr>
        <w:t>With clear, peak, storage, backlight and other functions.</w:t>
      </w:r>
    </w:p>
    <w:p w14:paraId="0650EDBB" w14:textId="548CEB1B" w:rsidR="00E00EF2" w:rsidRPr="0027050D" w:rsidRDefault="0027050D" w:rsidP="0027050D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7050D">
        <w:rPr>
          <w:rFonts w:ascii="Times New Roman" w:hAnsi="Times New Roman" w:cs="Times New Roman"/>
        </w:rPr>
        <w:t>Ultra-low power design, no operation automatic shutdown, cont</w:t>
      </w:r>
      <w:r w:rsidRPr="0027050D">
        <w:rPr>
          <w:rFonts w:ascii="Times New Roman" w:hAnsi="Times New Roman" w:cs="Times New Roman"/>
        </w:rPr>
        <w:t>inuous working time can exceed 200 hours.</w:t>
      </w:r>
    </w:p>
    <w:p w14:paraId="0A7C67DB" w14:textId="7F98676B" w:rsidR="00E00EF2" w:rsidRPr="0027050D" w:rsidRDefault="0027050D" w:rsidP="0027050D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 w:hint="eastAsia"/>
        </w:rPr>
      </w:pPr>
      <w:r w:rsidRPr="0027050D">
        <w:rPr>
          <w:rFonts w:ascii="Times New Roman" w:hAnsi="Times New Roman" w:cs="Times New Roman"/>
        </w:rPr>
        <w:t>Two measurement modes: strength (MPa) and force value (KN)</w:t>
      </w:r>
      <w:r>
        <w:rPr>
          <w:rFonts w:ascii="Times New Roman" w:hAnsi="Times New Roman" w:cs="Times New Roman" w:hint="eastAsia"/>
        </w:rPr>
        <w:t>.</w:t>
      </w:r>
    </w:p>
    <w:p w14:paraId="2AD38682" w14:textId="0F462FF3" w:rsidR="00E00EF2" w:rsidRDefault="0027050D" w:rsidP="0027050D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T</w:t>
      </w:r>
      <w:r>
        <w:rPr>
          <w:rFonts w:ascii="Times New Roman" w:hAnsi="Times New Roman" w:cs="Times New Roman"/>
          <w:b/>
          <w:bCs/>
          <w:sz w:val="24"/>
        </w:rPr>
        <w:t>echnical Parameter</w:t>
      </w:r>
    </w:p>
    <w:p w14:paraId="12AA23B8" w14:textId="77777777" w:rsidR="0027050D" w:rsidRPr="0027050D" w:rsidRDefault="0027050D" w:rsidP="0027050D">
      <w:pPr>
        <w:jc w:val="left"/>
        <w:rPr>
          <w:rFonts w:ascii="Times New Roman" w:hAnsi="Times New Roman" w:cs="Times New Roman" w:hint="eastAsia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880"/>
        <w:gridCol w:w="2948"/>
      </w:tblGrid>
      <w:tr w:rsidR="00E00EF2" w:rsidRPr="0027050D" w14:paraId="7544148D" w14:textId="77777777">
        <w:tc>
          <w:tcPr>
            <w:tcW w:w="2694" w:type="dxa"/>
          </w:tcPr>
          <w:p w14:paraId="0FDC03AB" w14:textId="43939388" w:rsidR="00E00EF2" w:rsidRPr="0027050D" w:rsidRDefault="0027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880" w:type="dxa"/>
          </w:tcPr>
          <w:p w14:paraId="068573D1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GTJ-2000A</w:t>
            </w:r>
          </w:p>
        </w:tc>
        <w:tc>
          <w:tcPr>
            <w:tcW w:w="2948" w:type="dxa"/>
          </w:tcPr>
          <w:p w14:paraId="48B8D159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GTJ-6000C</w:t>
            </w:r>
          </w:p>
        </w:tc>
      </w:tr>
      <w:tr w:rsidR="00E00EF2" w:rsidRPr="0027050D" w14:paraId="14327E14" w14:textId="77777777">
        <w:tc>
          <w:tcPr>
            <w:tcW w:w="2694" w:type="dxa"/>
          </w:tcPr>
          <w:p w14:paraId="4FD56187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Instrument structure</w:t>
            </w:r>
          </w:p>
        </w:tc>
        <w:tc>
          <w:tcPr>
            <w:tcW w:w="2880" w:type="dxa"/>
          </w:tcPr>
          <w:p w14:paraId="480B5F12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Split</w:t>
            </w:r>
          </w:p>
        </w:tc>
        <w:tc>
          <w:tcPr>
            <w:tcW w:w="2948" w:type="dxa"/>
          </w:tcPr>
          <w:p w14:paraId="774B0602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Integrated</w:t>
            </w:r>
          </w:p>
        </w:tc>
      </w:tr>
      <w:tr w:rsidR="00E00EF2" w:rsidRPr="0027050D" w14:paraId="1E2924A8" w14:textId="77777777">
        <w:tc>
          <w:tcPr>
            <w:tcW w:w="2694" w:type="dxa"/>
          </w:tcPr>
          <w:p w14:paraId="701B88C6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Measuring range</w:t>
            </w:r>
          </w:p>
        </w:tc>
        <w:tc>
          <w:tcPr>
            <w:tcW w:w="5828" w:type="dxa"/>
            <w:gridSpan w:val="2"/>
          </w:tcPr>
          <w:p w14:paraId="6B5B0704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0-6.000kN/3.75Mpa</w:t>
            </w:r>
          </w:p>
        </w:tc>
      </w:tr>
      <w:tr w:rsidR="00E00EF2" w:rsidRPr="0027050D" w14:paraId="165C9CC6" w14:textId="77777777">
        <w:tc>
          <w:tcPr>
            <w:tcW w:w="2694" w:type="dxa"/>
          </w:tcPr>
          <w:p w14:paraId="2B7012C8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Display mode</w:t>
            </w:r>
          </w:p>
        </w:tc>
        <w:tc>
          <w:tcPr>
            <w:tcW w:w="5828" w:type="dxa"/>
            <w:gridSpan w:val="2"/>
          </w:tcPr>
          <w:p w14:paraId="058D3CA8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50D">
              <w:rPr>
                <w:rFonts w:ascii="Times New Roman" w:hAnsi="Times New Roman" w:cs="Times New Roman"/>
              </w:rPr>
              <w:t>kN</w:t>
            </w:r>
            <w:proofErr w:type="spellEnd"/>
            <w:r w:rsidRPr="0027050D">
              <w:rPr>
                <w:rFonts w:ascii="Times New Roman" w:hAnsi="Times New Roman" w:cs="Times New Roman"/>
              </w:rPr>
              <w:t>/</w:t>
            </w:r>
            <w:proofErr w:type="spellStart"/>
            <w:r w:rsidRPr="0027050D">
              <w:rPr>
                <w:rFonts w:ascii="Times New Roman" w:hAnsi="Times New Roman" w:cs="Times New Roman"/>
              </w:rPr>
              <w:t>Mpa</w:t>
            </w:r>
            <w:proofErr w:type="spellEnd"/>
            <w:r w:rsidRPr="0027050D">
              <w:rPr>
                <w:rFonts w:ascii="Times New Roman" w:hAnsi="Times New Roman" w:cs="Times New Roman"/>
              </w:rPr>
              <w:t xml:space="preserve"> adjustable</w:t>
            </w:r>
          </w:p>
        </w:tc>
      </w:tr>
      <w:tr w:rsidR="00E00EF2" w:rsidRPr="0027050D" w14:paraId="3F4E5FA2" w14:textId="77777777">
        <w:tc>
          <w:tcPr>
            <w:tcW w:w="2694" w:type="dxa"/>
          </w:tcPr>
          <w:p w14:paraId="79F7240E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Resolution</w:t>
            </w:r>
          </w:p>
        </w:tc>
        <w:tc>
          <w:tcPr>
            <w:tcW w:w="5828" w:type="dxa"/>
            <w:gridSpan w:val="2"/>
          </w:tcPr>
          <w:p w14:paraId="192F1BE8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0.001kN</w:t>
            </w:r>
          </w:p>
        </w:tc>
      </w:tr>
      <w:tr w:rsidR="00E00EF2" w:rsidRPr="0027050D" w14:paraId="6ADA30B5" w14:textId="77777777">
        <w:tc>
          <w:tcPr>
            <w:tcW w:w="2694" w:type="dxa"/>
          </w:tcPr>
          <w:p w14:paraId="3CB7A736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Hollow oil cylinder stroke</w:t>
            </w:r>
          </w:p>
        </w:tc>
        <w:tc>
          <w:tcPr>
            <w:tcW w:w="5828" w:type="dxa"/>
            <w:gridSpan w:val="2"/>
          </w:tcPr>
          <w:p w14:paraId="6C96A8E4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10mm</w:t>
            </w:r>
          </w:p>
        </w:tc>
      </w:tr>
      <w:tr w:rsidR="00E00EF2" w:rsidRPr="0027050D" w14:paraId="6DABA457" w14:textId="77777777">
        <w:tc>
          <w:tcPr>
            <w:tcW w:w="2694" w:type="dxa"/>
          </w:tcPr>
          <w:p w14:paraId="4F8B6F96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Data</w:t>
            </w:r>
            <w:r w:rsidRPr="0027050D">
              <w:rPr>
                <w:rFonts w:ascii="Times New Roman" w:hAnsi="Times New Roman" w:cs="Times New Roman"/>
              </w:rPr>
              <w:t xml:space="preserve"> </w:t>
            </w:r>
            <w:r w:rsidRPr="0027050D">
              <w:rPr>
                <w:rFonts w:ascii="Times New Roman" w:hAnsi="Times New Roman" w:cs="Times New Roman"/>
              </w:rPr>
              <w:t>storage</w:t>
            </w:r>
          </w:p>
        </w:tc>
        <w:tc>
          <w:tcPr>
            <w:tcW w:w="5828" w:type="dxa"/>
            <w:gridSpan w:val="2"/>
          </w:tcPr>
          <w:p w14:paraId="3344B39F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500</w:t>
            </w:r>
          </w:p>
        </w:tc>
      </w:tr>
      <w:tr w:rsidR="00E00EF2" w:rsidRPr="0027050D" w14:paraId="66E0F68D" w14:textId="77777777">
        <w:tc>
          <w:tcPr>
            <w:tcW w:w="2694" w:type="dxa"/>
          </w:tcPr>
          <w:p w14:paraId="6CCC85AE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Data query and deletion</w:t>
            </w:r>
          </w:p>
        </w:tc>
        <w:tc>
          <w:tcPr>
            <w:tcW w:w="5828" w:type="dxa"/>
            <w:gridSpan w:val="2"/>
          </w:tcPr>
          <w:p w14:paraId="7D314996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yes</w:t>
            </w:r>
          </w:p>
        </w:tc>
      </w:tr>
      <w:tr w:rsidR="00E00EF2" w:rsidRPr="0027050D" w14:paraId="13F37B3C" w14:textId="77777777">
        <w:tc>
          <w:tcPr>
            <w:tcW w:w="2694" w:type="dxa"/>
          </w:tcPr>
          <w:p w14:paraId="5F5F7130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Peak hold function</w:t>
            </w:r>
          </w:p>
        </w:tc>
        <w:tc>
          <w:tcPr>
            <w:tcW w:w="5828" w:type="dxa"/>
            <w:gridSpan w:val="2"/>
          </w:tcPr>
          <w:p w14:paraId="6B8622D7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yes</w:t>
            </w:r>
          </w:p>
        </w:tc>
      </w:tr>
      <w:tr w:rsidR="00E00EF2" w:rsidRPr="0027050D" w14:paraId="45CFBABB" w14:textId="77777777">
        <w:tc>
          <w:tcPr>
            <w:tcW w:w="2694" w:type="dxa"/>
          </w:tcPr>
          <w:p w14:paraId="7ECB5A46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Night lighting function</w:t>
            </w:r>
          </w:p>
        </w:tc>
        <w:tc>
          <w:tcPr>
            <w:tcW w:w="5828" w:type="dxa"/>
            <w:gridSpan w:val="2"/>
          </w:tcPr>
          <w:p w14:paraId="5A533972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yes</w:t>
            </w:r>
          </w:p>
        </w:tc>
      </w:tr>
      <w:tr w:rsidR="00E00EF2" w:rsidRPr="0027050D" w14:paraId="368F35B3" w14:textId="77777777">
        <w:tc>
          <w:tcPr>
            <w:tcW w:w="2694" w:type="dxa"/>
          </w:tcPr>
          <w:p w14:paraId="4D3B7C7D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Polyline correction</w:t>
            </w:r>
          </w:p>
        </w:tc>
        <w:tc>
          <w:tcPr>
            <w:tcW w:w="5828" w:type="dxa"/>
            <w:gridSpan w:val="2"/>
          </w:tcPr>
          <w:p w14:paraId="7E23981B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10 steps</w:t>
            </w:r>
          </w:p>
        </w:tc>
      </w:tr>
      <w:tr w:rsidR="00E00EF2" w:rsidRPr="0027050D" w14:paraId="27875ABF" w14:textId="77777777">
        <w:tc>
          <w:tcPr>
            <w:tcW w:w="2694" w:type="dxa"/>
          </w:tcPr>
          <w:p w14:paraId="2F0BF177" w14:textId="77777777" w:rsidR="00E00EF2" w:rsidRPr="0027050D" w:rsidRDefault="0027050D">
            <w:pPr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Body material weight</w:t>
            </w:r>
          </w:p>
        </w:tc>
        <w:tc>
          <w:tcPr>
            <w:tcW w:w="2880" w:type="dxa"/>
          </w:tcPr>
          <w:p w14:paraId="783B291C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Stainless steel material</w:t>
            </w:r>
            <w:r w:rsidRPr="0027050D">
              <w:rPr>
                <w:rFonts w:ascii="Times New Roman" w:hAnsi="Times New Roman" w:cs="Times New Roman"/>
              </w:rPr>
              <w:t xml:space="preserve"> 4.5kg</w:t>
            </w:r>
          </w:p>
        </w:tc>
        <w:tc>
          <w:tcPr>
            <w:tcW w:w="2948" w:type="dxa"/>
          </w:tcPr>
          <w:p w14:paraId="10A510EF" w14:textId="77777777" w:rsidR="00E00EF2" w:rsidRPr="0027050D" w:rsidRDefault="0027050D" w:rsidP="0027050D">
            <w:pPr>
              <w:jc w:val="center"/>
              <w:rPr>
                <w:rFonts w:ascii="Times New Roman" w:hAnsi="Times New Roman" w:cs="Times New Roman"/>
              </w:rPr>
            </w:pPr>
            <w:r w:rsidRPr="0027050D">
              <w:rPr>
                <w:rFonts w:ascii="Times New Roman" w:hAnsi="Times New Roman" w:cs="Times New Roman"/>
              </w:rPr>
              <w:t>Alloy materials</w:t>
            </w:r>
            <w:r w:rsidRPr="0027050D">
              <w:rPr>
                <w:rFonts w:ascii="Times New Roman" w:hAnsi="Times New Roman" w:cs="Times New Roman"/>
              </w:rPr>
              <w:t xml:space="preserve"> 2.0kg</w:t>
            </w:r>
          </w:p>
        </w:tc>
      </w:tr>
    </w:tbl>
    <w:p w14:paraId="3A6D28EE" w14:textId="77777777" w:rsidR="00E00EF2" w:rsidRDefault="00E00EF2">
      <w:pPr>
        <w:rPr>
          <w:rFonts w:hint="eastAsia"/>
        </w:rPr>
      </w:pPr>
    </w:p>
    <w:sectPr w:rsidR="00E0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41F1"/>
    <w:multiLevelType w:val="hybridMultilevel"/>
    <w:tmpl w:val="07DC00B2"/>
    <w:lvl w:ilvl="0" w:tplc="0DAAA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F2"/>
    <w:rsid w:val="0027050D"/>
    <w:rsid w:val="00E00EF2"/>
    <w:rsid w:val="086F00E3"/>
    <w:rsid w:val="1B4C25EA"/>
    <w:rsid w:val="1BAC31A5"/>
    <w:rsid w:val="2357077B"/>
    <w:rsid w:val="295B6C7C"/>
    <w:rsid w:val="34FF2781"/>
    <w:rsid w:val="44553591"/>
    <w:rsid w:val="565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2610C"/>
  <w15:docId w15:val="{5EF38F20-3BDF-4C29-9F83-9A04726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2705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2020-04-22T10:16:00Z</dcterms:created>
  <dcterms:modified xsi:type="dcterms:W3CDTF">2020-04-22T10:32:00Z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